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1D" w:rsidRPr="00313C1D" w:rsidRDefault="00313C1D" w:rsidP="00313C1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313C1D">
        <w:rPr>
          <w:rFonts w:ascii="Calibri" w:eastAsia="Times New Roman" w:hAnsi="Calibri" w:cs="Calibri"/>
          <w:b/>
          <w:bCs/>
          <w:sz w:val="26"/>
          <w:szCs w:val="26"/>
        </w:rPr>
        <w:t>ANEXĂ</w:t>
      </w: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13C1D">
        <w:rPr>
          <w:rFonts w:ascii="Calibri" w:eastAsia="Times New Roman" w:hAnsi="Calibri" w:cs="Calibri"/>
          <w:sz w:val="26"/>
          <w:szCs w:val="26"/>
        </w:rPr>
        <w:t>DIRECŢIA GENERALĂ DE ASISTENŢĂ SOCIALĂ ŞI PROTECŢIA COPILULUI JUDEŢUL . . . . . . . . . .</w:t>
      </w: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13C1D">
        <w:rPr>
          <w:rFonts w:ascii="Calibri" w:eastAsia="Times New Roman" w:hAnsi="Calibri" w:cs="Calibri"/>
          <w:sz w:val="26"/>
          <w:szCs w:val="26"/>
        </w:rPr>
        <w:t>/SECTORUL . . . . . . . . . . AL MUNICIPIULUI BUCUREŞTI</w:t>
      </w: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13C1D">
        <w:rPr>
          <w:rFonts w:ascii="Calibri" w:eastAsia="Times New Roman" w:hAnsi="Calibri" w:cs="Calibri"/>
          <w:sz w:val="26"/>
          <w:szCs w:val="26"/>
        </w:rPr>
        <w:t>SERVICIUL DE EVALUARE COMPLEXĂ A PERSOANELOR ADULTE CU HANDICAP</w:t>
      </w: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proofErr w:type="gramStart"/>
      <w:r w:rsidRPr="00313C1D">
        <w:rPr>
          <w:rFonts w:ascii="Calibri" w:eastAsia="Times New Roman" w:hAnsi="Calibri" w:cs="Calibri"/>
          <w:sz w:val="26"/>
          <w:szCs w:val="26"/>
        </w:rPr>
        <w:t>Nr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.</w:t>
      </w:r>
      <w:proofErr w:type="gram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./zz.ll.an</w:t>
      </w:r>
    </w:p>
    <w:p w:rsidR="00313C1D" w:rsidRPr="007272DC" w:rsidRDefault="00313C1D" w:rsidP="00313C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313C1D">
        <w:rPr>
          <w:rFonts w:ascii="Calibri" w:eastAsia="Times New Roman" w:hAnsi="Calibri" w:cs="Calibri"/>
          <w:b/>
          <w:bCs/>
          <w:sz w:val="26"/>
          <w:szCs w:val="26"/>
        </w:rPr>
        <w:t>ADEVERINŢĂ</w:t>
      </w:r>
    </w:p>
    <w:p w:rsidR="00313C1D" w:rsidRPr="00313C1D" w:rsidRDefault="00313C1D" w:rsidP="00313C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prezenta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certifică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faptul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dl/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dna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fiul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fiica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lui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al/a . . . . . . . . . .,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posesor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posesoare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al/a BI/CI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seria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nr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. . . . . . . . . . ., CNP . . . . . . . . . .,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născut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(ă) la . . . . . . . . . .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localitatea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având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domiciliul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., s-a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aflat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evidenţele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instituţiei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noastre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persoană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încadrată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grad de handicap,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cum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urmează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:</w:t>
      </w:r>
    </w:p>
    <w:tbl>
      <w:tblPr>
        <w:tblW w:w="9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85"/>
        <w:gridCol w:w="948"/>
        <w:gridCol w:w="1423"/>
        <w:gridCol w:w="2030"/>
        <w:gridCol w:w="1380"/>
        <w:gridCol w:w="893"/>
        <w:gridCol w:w="1336"/>
        <w:gridCol w:w="890"/>
      </w:tblGrid>
      <w:tr w:rsidR="007272DC" w:rsidRPr="00313C1D" w:rsidTr="00313C1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2DC" w:rsidRPr="00313C1D" w:rsidTr="00313C1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crt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Certificat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Decizie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încadrare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grad de handicap*)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Gradul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handicap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a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încadrat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(ă)**)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Valabilitate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***)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Perioadă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timp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a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încadrat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(ă)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gradul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handicap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Observaţii</w:t>
            </w:r>
            <w:proofErr w:type="spellEnd"/>
          </w:p>
        </w:tc>
      </w:tr>
      <w:tr w:rsidR="007272DC" w:rsidRPr="00313C1D" w:rsidTr="00313C1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proofErr w:type="gram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dată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de 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până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272DC" w:rsidRPr="00313C1D" w:rsidTr="00313C1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2DC" w:rsidRPr="00313C1D" w:rsidTr="00313C1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2DC" w:rsidRPr="00313C1D" w:rsidTr="00313C1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2DC" w:rsidRPr="00313C1D" w:rsidTr="00313C1D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Prezenta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adeverinţă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proofErr w:type="gramStart"/>
      <w:r w:rsidRPr="00313C1D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proofErr w:type="gram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eliberată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aplicării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prevederilor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 </w:t>
      </w:r>
      <w:hyperlink r:id="rId4" w:anchor="p-410863666" w:tgtFrame="_blank" w:history="1">
        <w:r w:rsidRPr="007272DC">
          <w:rPr>
            <w:rFonts w:ascii="Calibri" w:eastAsia="Times New Roman" w:hAnsi="Calibri" w:cs="Calibri"/>
            <w:sz w:val="26"/>
            <w:szCs w:val="26"/>
            <w:u w:val="single"/>
          </w:rPr>
          <w:t xml:space="preserve">art. </w:t>
        </w:r>
        <w:proofErr w:type="gramStart"/>
        <w:r w:rsidRPr="007272DC">
          <w:rPr>
            <w:rFonts w:ascii="Calibri" w:eastAsia="Times New Roman" w:hAnsi="Calibri" w:cs="Calibri"/>
            <w:sz w:val="26"/>
            <w:szCs w:val="26"/>
            <w:u w:val="single"/>
          </w:rPr>
          <w:t>58</w:t>
        </w:r>
        <w:proofErr w:type="gramEnd"/>
      </w:hyperlink>
      <w:r w:rsidRPr="00313C1D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 </w:t>
      </w:r>
      <w:hyperlink r:id="rId5" w:anchor="p-45181362" w:tgtFrame="_blank" w:history="1">
        <w:r w:rsidRPr="007272DC">
          <w:rPr>
            <w:rFonts w:ascii="Calibri" w:eastAsia="Times New Roman" w:hAnsi="Calibri" w:cs="Calibri"/>
            <w:sz w:val="26"/>
            <w:szCs w:val="26"/>
            <w:u w:val="single"/>
          </w:rPr>
          <w:t>59</w:t>
        </w:r>
      </w:hyperlink>
      <w:r w:rsidRPr="00313C1D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nr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gramStart"/>
      <w:r w:rsidRPr="00313C1D">
        <w:rPr>
          <w:rFonts w:ascii="Calibri" w:eastAsia="Times New Roman" w:hAnsi="Calibri" w:cs="Calibri"/>
          <w:sz w:val="26"/>
          <w:szCs w:val="26"/>
        </w:rPr>
        <w:t>263/2010</w:t>
      </w:r>
      <w:proofErr w:type="gram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unitar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pensii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.</w:t>
      </w:r>
      <w:bookmarkStart w:id="0" w:name="_GoBack"/>
      <w:bookmarkEnd w:id="0"/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stabilirii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drepturilor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pensie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fldChar w:fldCharType="begin"/>
      </w:r>
      <w:r w:rsidRPr="00313C1D">
        <w:rPr>
          <w:rFonts w:ascii="Calibri" w:eastAsia="Times New Roman" w:hAnsi="Calibri" w:cs="Calibri"/>
          <w:sz w:val="26"/>
          <w:szCs w:val="26"/>
        </w:rPr>
        <w:instrText xml:space="preserve"> HYPERLINK "https://lege5.ro/App/Document/geztsmrxgu/legea-nr-263-2010-privind-sistemul-unitar-de-pensii-publice?d=2024-03-28" \t "_blank" </w:instrText>
      </w:r>
      <w:r w:rsidRPr="00313C1D">
        <w:rPr>
          <w:rFonts w:ascii="Calibri" w:eastAsia="Times New Roman" w:hAnsi="Calibri" w:cs="Calibri"/>
          <w:sz w:val="26"/>
          <w:szCs w:val="26"/>
        </w:rPr>
        <w:fldChar w:fldCharType="separate"/>
      </w:r>
      <w:r w:rsidRPr="007272DC">
        <w:rPr>
          <w:rFonts w:ascii="Calibri" w:eastAsia="Times New Roman" w:hAnsi="Calibri" w:cs="Calibri"/>
          <w:sz w:val="26"/>
          <w:szCs w:val="26"/>
          <w:u w:val="single"/>
        </w:rPr>
        <w:t>nr</w:t>
      </w:r>
      <w:proofErr w:type="spellEnd"/>
      <w:r w:rsidRPr="007272DC">
        <w:rPr>
          <w:rFonts w:ascii="Calibri" w:eastAsia="Times New Roman" w:hAnsi="Calibri" w:cs="Calibri"/>
          <w:sz w:val="26"/>
          <w:szCs w:val="26"/>
          <w:u w:val="single"/>
        </w:rPr>
        <w:t>. 263/2010</w:t>
      </w:r>
      <w:r w:rsidRPr="00313C1D">
        <w:rPr>
          <w:rFonts w:ascii="Calibri" w:eastAsia="Times New Roman" w:hAnsi="Calibri" w:cs="Calibri"/>
          <w:sz w:val="26"/>
          <w:szCs w:val="26"/>
        </w:rPr>
        <w:fldChar w:fldCharType="end"/>
      </w:r>
      <w:r w:rsidRPr="00313C1D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prezenta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adeverinţă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însoţeşte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Certificatul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Decizia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încadrare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313C1D">
        <w:rPr>
          <w:rFonts w:ascii="Calibri" w:eastAsia="Times New Roman" w:hAnsi="Calibri" w:cs="Calibri"/>
          <w:sz w:val="26"/>
          <w:szCs w:val="26"/>
        </w:rPr>
        <w:t>grad</w:t>
      </w:r>
      <w:proofErr w:type="gramEnd"/>
      <w:r w:rsidRPr="00313C1D">
        <w:rPr>
          <w:rFonts w:ascii="Calibri" w:eastAsia="Times New Roman" w:hAnsi="Calibri" w:cs="Calibri"/>
          <w:sz w:val="26"/>
          <w:szCs w:val="26"/>
        </w:rPr>
        <w:t xml:space="preserve"> de handicap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nr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........... </w:t>
      </w:r>
      <w:proofErr w:type="gramStart"/>
      <w:r w:rsidRPr="00313C1D">
        <w:rPr>
          <w:rFonts w:ascii="Calibri" w:eastAsia="Times New Roman" w:hAnsi="Calibri" w:cs="Calibri"/>
          <w:sz w:val="26"/>
          <w:szCs w:val="26"/>
        </w:rPr>
        <w:t>din</w:t>
      </w:r>
      <w:proofErr w:type="gramEnd"/>
      <w:r w:rsidRPr="00313C1D">
        <w:rPr>
          <w:rFonts w:ascii="Calibri" w:eastAsia="Times New Roman" w:hAnsi="Calibri" w:cs="Calibri"/>
          <w:sz w:val="26"/>
          <w:szCs w:val="26"/>
        </w:rPr>
        <w:t xml:space="preserve"> data de..........,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emis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(ă)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condiţiile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va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depusă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la casa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pensii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competentă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teritorial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funcţie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domiciliul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solicitantului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.</w:t>
      </w: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completate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certificatelor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încadrare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grad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tip de handicap, a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certificatelor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încadrare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grad de handicap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existente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evidenţa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Direcţiei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Asistenţă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Socială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Protecţia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Copilului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Judeţul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./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Sectorul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. . . . . . . . . . al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Municipiului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Bucureşti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>.</w:t>
      </w:r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Cunoscând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dispoziţiile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penale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incidente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materia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falsului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declaraţii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certificăm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cuprinse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prezenta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adeverinţă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sunt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reale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exacte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313C1D">
        <w:rPr>
          <w:rFonts w:ascii="Calibri" w:eastAsia="Times New Roman" w:hAnsi="Calibri" w:cs="Calibri"/>
          <w:sz w:val="26"/>
          <w:szCs w:val="26"/>
        </w:rPr>
        <w:t>şi</w:t>
      </w:r>
      <w:proofErr w:type="spellEnd"/>
      <w:r w:rsidRPr="00313C1D">
        <w:rPr>
          <w:rFonts w:ascii="Calibri" w:eastAsia="Times New Roman" w:hAnsi="Calibri" w:cs="Calibri"/>
          <w:sz w:val="26"/>
          <w:szCs w:val="26"/>
        </w:rPr>
        <w:t xml:space="preserve"> complete.</w:t>
      </w:r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2DC">
        <w:rPr>
          <w:rFonts w:ascii="Calibri" w:eastAsia="Times New Roman" w:hAnsi="Calibri" w:cs="Calibri"/>
          <w:sz w:val="26"/>
          <w:szCs w:val="26"/>
        </w:rPr>
        <w:t xml:space="preserve">                          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Numele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şi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prenumele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conducătorului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instituţiei</w:t>
      </w:r>
      <w:proofErr w:type="spellEnd"/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………………..</w:t>
      </w:r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Semnătura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br/>
      </w: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….………………..</w:t>
      </w:r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Ştampila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instituţiei</w:t>
      </w:r>
      <w:proofErr w:type="spellEnd"/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</w:t>
      </w:r>
      <w:r w:rsidRPr="007272DC">
        <w:rPr>
          <w:rFonts w:ascii="Times New Roman" w:eastAsia="Times New Roman" w:hAnsi="Times New Roman" w:cs="Times New Roman"/>
          <w:sz w:val="21"/>
          <w:szCs w:val="21"/>
        </w:rPr>
        <w:t>….………………..</w:t>
      </w:r>
    </w:p>
    <w:p w:rsidR="00313C1D" w:rsidRPr="007272DC" w:rsidRDefault="00313C1D" w:rsidP="00313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Întocmit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br/>
      </w:r>
      <w:r w:rsidRPr="007272D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Numele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şi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prenumele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. . . . . . . . . .</w:t>
      </w:r>
    </w:p>
    <w:p w:rsidR="00313C1D" w:rsidRPr="00313C1D" w:rsidRDefault="00313C1D" w:rsidP="00313C1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7272DC">
        <w:rPr>
          <w:rFonts w:ascii="Calibri" w:eastAsia="Times New Roman" w:hAnsi="Calibri" w:cs="Calibri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 w:rsidRPr="00313C1D">
        <w:rPr>
          <w:rFonts w:ascii="Times New Roman" w:eastAsia="Times New Roman" w:hAnsi="Times New Roman" w:cs="Times New Roman"/>
          <w:sz w:val="21"/>
          <w:szCs w:val="21"/>
        </w:rPr>
        <w:t>Funcţia</w:t>
      </w:r>
      <w:proofErr w:type="spellEnd"/>
      <w:r w:rsidRPr="00313C1D">
        <w:rPr>
          <w:rFonts w:ascii="Times New Roman" w:eastAsia="Times New Roman" w:hAnsi="Times New Roman" w:cs="Times New Roman"/>
          <w:sz w:val="21"/>
          <w:szCs w:val="21"/>
        </w:rPr>
        <w:t xml:space="preserve"> . . . . . . . . . .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7561"/>
      </w:tblGrid>
      <w:tr w:rsidR="007272DC" w:rsidRPr="007272DC" w:rsidTr="00313C1D">
        <w:trPr>
          <w:trHeight w:val="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1D" w:rsidRPr="00313C1D" w:rsidRDefault="00313C1D" w:rsidP="003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spellStart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31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</w:p>
        </w:tc>
      </w:tr>
    </w:tbl>
    <w:p w:rsidR="00313C1D" w:rsidRPr="007272DC" w:rsidRDefault="00313C1D" w:rsidP="00313C1D">
      <w:pPr>
        <w:jc w:val="both"/>
        <w:rPr>
          <w:rFonts w:ascii="Trebuchet MS" w:hAnsi="Trebuchet MS"/>
        </w:rPr>
      </w:pPr>
    </w:p>
    <w:sectPr w:rsidR="00313C1D" w:rsidRPr="007272DC" w:rsidSect="00313C1D">
      <w:pgSz w:w="12240" w:h="15840"/>
      <w:pgMar w:top="72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E"/>
    <w:rsid w:val="000B59B5"/>
    <w:rsid w:val="00313C1D"/>
    <w:rsid w:val="007272DC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1DFF"/>
  <w15:chartTrackingRefBased/>
  <w15:docId w15:val="{6C712E6C-E0CB-4E55-868B-DD32A2F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3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3C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31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3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tsmrxgu/legea-nr-263-2010-privind-sistemul-unitar-de-pensii-publice?pid=45181362&amp;d=2024-03-28" TargetMode="External"/><Relationship Id="rId4" Type="http://schemas.openxmlformats.org/officeDocument/2006/relationships/hyperlink" Target="https://lege5.ro/App/Document/geztsmrxgu/legea-nr-263-2010-privind-sistemul-unitar-de-pensii-publice?pid=410863666&amp;d=2024-03-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Mocanu</dc:creator>
  <cp:keywords/>
  <dc:description/>
  <cp:lastModifiedBy>Adriana Mocanu</cp:lastModifiedBy>
  <cp:revision>3</cp:revision>
  <cp:lastPrinted>2024-03-28T08:11:00Z</cp:lastPrinted>
  <dcterms:created xsi:type="dcterms:W3CDTF">2024-03-28T07:59:00Z</dcterms:created>
  <dcterms:modified xsi:type="dcterms:W3CDTF">2024-03-28T08:11:00Z</dcterms:modified>
</cp:coreProperties>
</file>